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C2" w:rsidRDefault="000F6DC2" w:rsidP="000F6DC2">
      <w:pPr>
        <w:shd w:val="clear" w:color="auto" w:fill="FFFFFF"/>
        <w:spacing w:before="331" w:line="317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РОССИЙСКАЯ   ФЕДЕРАЦИЯ</w:t>
      </w:r>
    </w:p>
    <w:p w:rsidR="000F6DC2" w:rsidRDefault="000F6DC2" w:rsidP="000F6DC2">
      <w:pPr>
        <w:shd w:val="clear" w:color="auto" w:fill="FFFFFF"/>
        <w:spacing w:line="317" w:lineRule="exact"/>
        <w:ind w:left="6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КАРАЧАЕВО-ЧЕРКЕССКАЯ РЕСПУБЛИКА</w:t>
      </w:r>
    </w:p>
    <w:p w:rsidR="000F6DC2" w:rsidRDefault="000F6DC2" w:rsidP="000F6DC2">
      <w:pPr>
        <w:shd w:val="clear" w:color="auto" w:fill="FFFFFF"/>
        <w:spacing w:line="317" w:lineRule="exact"/>
        <w:ind w:left="65"/>
        <w:jc w:val="center"/>
      </w:pPr>
      <w:r>
        <w:rPr>
          <w:rFonts w:eastAsia="Times New Roman"/>
          <w:b/>
          <w:bCs/>
          <w:sz w:val="28"/>
          <w:szCs w:val="28"/>
        </w:rPr>
        <w:t>ЗЕЛЕНЧУКСКИЙ МУНИЦИПАЛЬНЫЙ РАЙОН</w:t>
      </w:r>
    </w:p>
    <w:p w:rsidR="000F6DC2" w:rsidRDefault="000F6DC2" w:rsidP="000F6DC2">
      <w:pPr>
        <w:shd w:val="clear" w:color="auto" w:fill="FFFFFF"/>
        <w:spacing w:before="7" w:line="317" w:lineRule="exact"/>
        <w:ind w:left="1382" w:right="109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СОВЕТ </w:t>
      </w:r>
    </w:p>
    <w:p w:rsidR="000F6DC2" w:rsidRDefault="000F6DC2" w:rsidP="000F6DC2">
      <w:pPr>
        <w:shd w:val="clear" w:color="auto" w:fill="FFFFFF"/>
        <w:spacing w:before="7" w:line="317" w:lineRule="exact"/>
        <w:ind w:left="1382" w:right="109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ИСПРАВНЕНСКОГО СЕЛЬСКОГО ПОСЕЛЕНИЯ</w:t>
      </w:r>
    </w:p>
    <w:p w:rsidR="000F6DC2" w:rsidRDefault="000F6DC2" w:rsidP="000F6DC2">
      <w:pPr>
        <w:shd w:val="clear" w:color="auto" w:fill="FFFFFF"/>
        <w:spacing w:before="331"/>
        <w:ind w:left="5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РЕШЕНИЕ</w:t>
      </w:r>
    </w:p>
    <w:p w:rsidR="000F6DC2" w:rsidRPr="00321C3B" w:rsidRDefault="000F6DC2" w:rsidP="000F6DC2">
      <w:pPr>
        <w:shd w:val="clear" w:color="auto" w:fill="FFFFFF"/>
        <w:tabs>
          <w:tab w:val="left" w:leader="underscore" w:pos="446"/>
          <w:tab w:val="left" w:leader="underscore" w:pos="1426"/>
          <w:tab w:val="left" w:leader="underscore" w:pos="2059"/>
          <w:tab w:val="left" w:pos="3874"/>
          <w:tab w:val="left" w:pos="7978"/>
          <w:tab w:val="left" w:leader="underscore" w:pos="8604"/>
        </w:tabs>
        <w:spacing w:before="648"/>
        <w:ind w:left="22"/>
      </w:pPr>
      <w:r>
        <w:rPr>
          <w:rFonts w:eastAsia="Times New Roman"/>
          <w:sz w:val="28"/>
          <w:szCs w:val="28"/>
        </w:rPr>
        <w:t>23.07.2013                                    ст.</w:t>
      </w:r>
      <w:r>
        <w:rPr>
          <w:rFonts w:eastAsia="Times New Roman"/>
          <w:spacing w:val="-3"/>
          <w:sz w:val="28"/>
          <w:szCs w:val="28"/>
        </w:rPr>
        <w:t xml:space="preserve"> Исправная</w:t>
      </w:r>
      <w:r>
        <w:rPr>
          <w:rFonts w:ascii="Arial" w:eastAsia="Times New Roman" w:hAnsi="Arial" w:cs="Arial"/>
          <w:sz w:val="28"/>
          <w:szCs w:val="28"/>
        </w:rPr>
        <w:tab/>
        <w:t xml:space="preserve">        </w:t>
      </w:r>
      <w:r>
        <w:rPr>
          <w:rFonts w:eastAsia="Times New Roman"/>
          <w:sz w:val="28"/>
          <w:szCs w:val="28"/>
        </w:rPr>
        <w:t>№  19</w:t>
      </w:r>
    </w:p>
    <w:p w:rsidR="000F6DC2" w:rsidRDefault="000F6DC2" w:rsidP="000F6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F6DC2" w:rsidRDefault="000F6DC2" w:rsidP="000F6DC2">
      <w:pPr>
        <w:rPr>
          <w:b/>
          <w:sz w:val="28"/>
          <w:szCs w:val="28"/>
        </w:rPr>
      </w:pPr>
    </w:p>
    <w:p w:rsidR="000F6DC2" w:rsidRPr="00321C3B" w:rsidRDefault="000F6DC2" w:rsidP="000F6DC2">
      <w:pPr>
        <w:jc w:val="both"/>
        <w:rPr>
          <w:sz w:val="28"/>
          <w:szCs w:val="28"/>
        </w:rPr>
      </w:pPr>
      <w:r w:rsidRPr="00321C3B">
        <w:rPr>
          <w:sz w:val="28"/>
          <w:szCs w:val="28"/>
        </w:rPr>
        <w:t>О внесении изменений в решение Совета  Исправненского сельского поселения от 20.12.2012 № 24 «О  бюджете</w:t>
      </w:r>
      <w:r>
        <w:rPr>
          <w:sz w:val="28"/>
          <w:szCs w:val="28"/>
        </w:rPr>
        <w:t xml:space="preserve"> </w:t>
      </w:r>
      <w:r w:rsidRPr="00321C3B">
        <w:rPr>
          <w:sz w:val="28"/>
          <w:szCs w:val="28"/>
        </w:rPr>
        <w:t>Исправненского сельского поселения на 2013 год»</w:t>
      </w:r>
    </w:p>
    <w:p w:rsidR="000F6DC2" w:rsidRDefault="000F6DC2" w:rsidP="000F6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F6DC2" w:rsidRDefault="000F6DC2" w:rsidP="000F6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0F6DC2" w:rsidRDefault="000F6DC2" w:rsidP="000F6D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соответствии с Законом Карачаево-Черкесской Республики от 30.12.2011 № 92-РЗ «О дорожном фонде Карачаево-Черкесской Республики»,</w:t>
      </w:r>
      <w:r w:rsidRPr="009B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Карачаево-Черкесской Республики от 03.04.2012 № 140 «Об утверждении порядка расчета, предоставления и расходования субсидий местным бюджетам на капитальный ремонт  и ремонт автомобильных дорог общего пользования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населенных пунктов Карачаево-Черкесской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Республики», Постановлением Правительства Карачаево-Черкесской Республики № 200 «О распределении субсидий на 2013 год из средств дорожного фонда Карачаево-Черкесской Республики, выделяемых бюджетам муниципальных образований на капитальный ремонт  и ремонт автомобильных дорог общего пользования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населенных пунктов Карачаево-Черкесской Республики, на проектирование и строительство (реконструкцию) автомобильных дорог общего</w:t>
      </w:r>
      <w:proofErr w:type="gramEnd"/>
      <w:r>
        <w:rPr>
          <w:color w:val="000000"/>
          <w:sz w:val="28"/>
          <w:szCs w:val="28"/>
        </w:rPr>
        <w:t xml:space="preserve"> пользования местного значения с твердым покрытием до сельских населенных пунктов, не имеющих круглогодичной связи с сетью автомобильных  дорог общего пользования» на долевое участие в финансировании расходов в размере 0,1 %</w:t>
      </w:r>
    </w:p>
    <w:p w:rsidR="000F6DC2" w:rsidRPr="00B32F57" w:rsidRDefault="000F6DC2" w:rsidP="000F6DC2">
      <w:pPr>
        <w:jc w:val="both"/>
        <w:rPr>
          <w:sz w:val="28"/>
          <w:szCs w:val="28"/>
        </w:rPr>
      </w:pPr>
      <w:r w:rsidRPr="00B32F57">
        <w:rPr>
          <w:sz w:val="28"/>
          <w:szCs w:val="28"/>
        </w:rPr>
        <w:t>Совет Исправненского сельского поселения</w:t>
      </w:r>
    </w:p>
    <w:p w:rsidR="000F6DC2" w:rsidRDefault="000F6DC2" w:rsidP="000F6DC2">
      <w:pPr>
        <w:rPr>
          <w:sz w:val="28"/>
          <w:szCs w:val="28"/>
        </w:rPr>
      </w:pPr>
    </w:p>
    <w:p w:rsidR="000F6DC2" w:rsidRPr="000F6DC2" w:rsidRDefault="000F6DC2" w:rsidP="000F6DC2">
      <w:pPr>
        <w:rPr>
          <w:sz w:val="28"/>
          <w:szCs w:val="28"/>
        </w:rPr>
      </w:pPr>
      <w:r w:rsidRPr="00B32F57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F6DC2" w:rsidRPr="00B32F57" w:rsidRDefault="000F6DC2" w:rsidP="000F6DC2">
      <w:pPr>
        <w:rPr>
          <w:sz w:val="28"/>
          <w:szCs w:val="28"/>
        </w:rPr>
      </w:pPr>
    </w:p>
    <w:p w:rsidR="000F6DC2" w:rsidRPr="000F6DC2" w:rsidRDefault="000F6DC2" w:rsidP="000F6DC2">
      <w:pPr>
        <w:pStyle w:val="a7"/>
        <w:numPr>
          <w:ilvl w:val="0"/>
          <w:numId w:val="2"/>
        </w:numPr>
        <w:rPr>
          <w:sz w:val="28"/>
          <w:szCs w:val="28"/>
        </w:rPr>
      </w:pPr>
      <w:r w:rsidRPr="000F6DC2">
        <w:rPr>
          <w:sz w:val="28"/>
          <w:szCs w:val="28"/>
        </w:rPr>
        <w:t>Приложение № 3 «Перечень главных администраторов доходов Исправненского сельского поселения на 2013 год» дополнить строкой следующего содержания:</w:t>
      </w:r>
    </w:p>
    <w:p w:rsidR="000F6DC2" w:rsidRDefault="000F6DC2" w:rsidP="000F6DC2">
      <w:pPr>
        <w:rPr>
          <w:sz w:val="28"/>
          <w:szCs w:val="28"/>
        </w:rPr>
      </w:pPr>
    </w:p>
    <w:p w:rsidR="000F6DC2" w:rsidRDefault="000F6DC2" w:rsidP="000F6DC2">
      <w:pPr>
        <w:rPr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5906"/>
      </w:tblGrid>
      <w:tr w:rsidR="000F6DC2" w:rsidRPr="006B0C29" w:rsidTr="00270E99">
        <w:tc>
          <w:tcPr>
            <w:tcW w:w="1134" w:type="dxa"/>
          </w:tcPr>
          <w:p w:rsidR="000F6DC2" w:rsidRPr="00E13449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13449">
              <w:rPr>
                <w:rFonts w:eastAsia="Times New Roman"/>
                <w:kern w:val="0"/>
                <w:lang w:eastAsia="ru-RU"/>
              </w:rPr>
              <w:t>Код администратора доходов</w:t>
            </w:r>
          </w:p>
        </w:tc>
        <w:tc>
          <w:tcPr>
            <w:tcW w:w="2835" w:type="dxa"/>
          </w:tcPr>
          <w:p w:rsidR="000F6DC2" w:rsidRPr="006B0C29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B0C29">
              <w:rPr>
                <w:rFonts w:eastAsia="Times New Roman"/>
                <w:color w:val="000000"/>
                <w:kern w:val="0"/>
                <w:lang w:eastAsia="ru-RU"/>
              </w:rPr>
              <w:t xml:space="preserve">Код бюджетной классификации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доходов </w:t>
            </w:r>
            <w:r w:rsidRPr="006B0C29">
              <w:rPr>
                <w:rFonts w:eastAsia="Times New Roman"/>
                <w:color w:val="000000"/>
                <w:kern w:val="0"/>
                <w:lang w:eastAsia="ru-RU"/>
              </w:rPr>
              <w:t>Российской Федерации</w:t>
            </w:r>
          </w:p>
        </w:tc>
        <w:tc>
          <w:tcPr>
            <w:tcW w:w="5906" w:type="dxa"/>
          </w:tcPr>
          <w:p w:rsidR="000F6DC2" w:rsidRPr="006B0C29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0F6DC2" w:rsidRPr="00E13449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13449">
              <w:rPr>
                <w:rFonts w:eastAsia="Times New Roman"/>
                <w:kern w:val="0"/>
                <w:lang w:eastAsia="ru-RU"/>
              </w:rPr>
              <w:t>Наименование администратора</w:t>
            </w:r>
          </w:p>
          <w:p w:rsidR="000F6DC2" w:rsidRPr="006B0C29" w:rsidRDefault="000F6DC2" w:rsidP="00270E99">
            <w:pPr>
              <w:widowControl/>
              <w:tabs>
                <w:tab w:val="left" w:pos="1125"/>
              </w:tabs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E13449">
              <w:rPr>
                <w:rFonts w:eastAsia="Times New Roman"/>
                <w:kern w:val="0"/>
                <w:lang w:eastAsia="ru-RU"/>
              </w:rPr>
              <w:tab/>
            </w:r>
            <w:r>
              <w:rPr>
                <w:rFonts w:eastAsia="Times New Roman"/>
                <w:kern w:val="0"/>
                <w:lang w:eastAsia="ru-RU"/>
              </w:rPr>
              <w:t>д</w:t>
            </w:r>
            <w:r w:rsidRPr="00E13449">
              <w:rPr>
                <w:rFonts w:eastAsia="Times New Roman"/>
                <w:kern w:val="0"/>
                <w:lang w:eastAsia="ru-RU"/>
              </w:rPr>
              <w:t>оходов местного бюджета</w:t>
            </w:r>
          </w:p>
        </w:tc>
      </w:tr>
      <w:tr w:rsidR="000F6DC2" w:rsidRPr="006B0C29" w:rsidTr="00270E99">
        <w:tc>
          <w:tcPr>
            <w:tcW w:w="1134" w:type="dxa"/>
          </w:tcPr>
          <w:p w:rsidR="000F6DC2" w:rsidRPr="006B0C29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B0C29">
              <w:rPr>
                <w:rFonts w:eastAsia="Times New Roman"/>
                <w:kern w:val="0"/>
                <w:lang w:eastAsia="ru-RU"/>
              </w:rPr>
              <w:t>301</w:t>
            </w:r>
          </w:p>
        </w:tc>
        <w:tc>
          <w:tcPr>
            <w:tcW w:w="2835" w:type="dxa"/>
          </w:tcPr>
          <w:p w:rsidR="000F6DC2" w:rsidRPr="006B0C29" w:rsidRDefault="000F6DC2" w:rsidP="00270E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2 02 02041 10 0000 151</w:t>
            </w:r>
          </w:p>
        </w:tc>
        <w:tc>
          <w:tcPr>
            <w:tcW w:w="5906" w:type="dxa"/>
          </w:tcPr>
          <w:p w:rsidR="000F6DC2" w:rsidRPr="006B0C29" w:rsidRDefault="000F6DC2" w:rsidP="00270E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</w:tbl>
    <w:p w:rsidR="000F6DC2" w:rsidRPr="002737B3" w:rsidRDefault="000F6DC2" w:rsidP="000F6DC2">
      <w:pPr>
        <w:rPr>
          <w:sz w:val="28"/>
          <w:szCs w:val="28"/>
        </w:rPr>
      </w:pPr>
    </w:p>
    <w:p w:rsidR="000F6DC2" w:rsidRDefault="000F6DC2" w:rsidP="000F6DC2">
      <w:pPr>
        <w:jc w:val="both"/>
        <w:rPr>
          <w:sz w:val="28"/>
          <w:szCs w:val="28"/>
        </w:rPr>
      </w:pPr>
    </w:p>
    <w:p w:rsidR="000F6DC2" w:rsidRPr="000F6DC2" w:rsidRDefault="000F6DC2" w:rsidP="000F6DC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F6DC2">
        <w:rPr>
          <w:sz w:val="28"/>
          <w:szCs w:val="28"/>
        </w:rPr>
        <w:t>Приложение № 5 «Ведомственная структура расходов бюджета Исправненского сельского поселения на 2013 год» дополнить строками следующего содержания:</w:t>
      </w:r>
    </w:p>
    <w:p w:rsidR="000F6DC2" w:rsidRPr="00E55514" w:rsidRDefault="000F6DC2" w:rsidP="000F6DC2">
      <w:pPr>
        <w:jc w:val="both"/>
        <w:rPr>
          <w:sz w:val="28"/>
          <w:szCs w:val="28"/>
        </w:rPr>
      </w:pPr>
    </w:p>
    <w:tbl>
      <w:tblPr>
        <w:tblW w:w="10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84"/>
        <w:gridCol w:w="876"/>
        <w:gridCol w:w="953"/>
        <w:gridCol w:w="1302"/>
        <w:gridCol w:w="697"/>
        <w:gridCol w:w="1158"/>
        <w:gridCol w:w="860"/>
        <w:gridCol w:w="1124"/>
      </w:tblGrid>
      <w:tr w:rsidR="000F6DC2" w:rsidRPr="00E55514" w:rsidTr="00270E99">
        <w:tc>
          <w:tcPr>
            <w:tcW w:w="710" w:type="dxa"/>
          </w:tcPr>
          <w:p w:rsidR="000F6DC2" w:rsidRDefault="000F6DC2" w:rsidP="00270E99">
            <w:pPr>
              <w:keepNext/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№</w:t>
            </w:r>
          </w:p>
          <w:p w:rsidR="000F6DC2" w:rsidRPr="00E55514" w:rsidRDefault="000F6DC2" w:rsidP="00270E99">
            <w:pPr>
              <w:keepNext/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п</w:t>
            </w:r>
            <w:proofErr w:type="gramEnd"/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3084" w:type="dxa"/>
          </w:tcPr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876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514">
              <w:rPr>
                <w:rFonts w:eastAsia="Times New Roman"/>
                <w:kern w:val="0"/>
                <w:lang w:eastAsia="ru-RU"/>
              </w:rPr>
              <w:t>Код</w:t>
            </w:r>
          </w:p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55514">
              <w:rPr>
                <w:rFonts w:eastAsia="Times New Roman"/>
                <w:kern w:val="0"/>
                <w:lang w:eastAsia="ru-RU"/>
              </w:rPr>
              <w:t>главы</w:t>
            </w:r>
          </w:p>
        </w:tc>
        <w:tc>
          <w:tcPr>
            <w:tcW w:w="953" w:type="dxa"/>
          </w:tcPr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Раздел</w:t>
            </w:r>
          </w:p>
        </w:tc>
        <w:tc>
          <w:tcPr>
            <w:tcW w:w="1302" w:type="dxa"/>
          </w:tcPr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КЦСР</w:t>
            </w:r>
          </w:p>
        </w:tc>
        <w:tc>
          <w:tcPr>
            <w:tcW w:w="697" w:type="dxa"/>
          </w:tcPr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keepNext/>
              <w:widowControl/>
              <w:suppressAutoHyphens w:val="0"/>
              <w:jc w:val="center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КВР</w:t>
            </w:r>
          </w:p>
        </w:tc>
        <w:tc>
          <w:tcPr>
            <w:tcW w:w="1158" w:type="dxa"/>
          </w:tcPr>
          <w:p w:rsidR="000F6DC2" w:rsidRDefault="000F6DC2" w:rsidP="00270E99">
            <w:pPr>
              <w:keepNext/>
              <w:widowControl/>
              <w:suppressAutoHyphens w:val="0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Default="000F6DC2" w:rsidP="00270E99">
            <w:pPr>
              <w:keepNext/>
              <w:widowControl/>
              <w:suppressAutoHyphens w:val="0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0F6DC2" w:rsidRPr="00E55514" w:rsidRDefault="000F6DC2" w:rsidP="00270E99">
            <w:pPr>
              <w:keepNext/>
              <w:widowControl/>
              <w:suppressAutoHyphens w:val="0"/>
              <w:outlineLvl w:val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55514">
              <w:rPr>
                <w:rFonts w:eastAsia="Times New Roman"/>
                <w:color w:val="000000"/>
                <w:kern w:val="0"/>
                <w:lang w:eastAsia="ru-RU"/>
              </w:rPr>
              <w:t>Сумма</w:t>
            </w:r>
          </w:p>
          <w:p w:rsidR="000F6DC2" w:rsidRPr="00E55514" w:rsidRDefault="000F6DC2" w:rsidP="00270E99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E55514">
              <w:rPr>
                <w:rFonts w:eastAsia="Times New Roman"/>
                <w:b/>
                <w:kern w:val="0"/>
                <w:lang w:eastAsia="ru-RU"/>
              </w:rPr>
              <w:t>( всего)</w:t>
            </w:r>
          </w:p>
        </w:tc>
        <w:tc>
          <w:tcPr>
            <w:tcW w:w="860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514">
              <w:rPr>
                <w:rFonts w:eastAsia="Times New Roman"/>
                <w:kern w:val="0"/>
                <w:lang w:eastAsia="ru-RU"/>
              </w:rPr>
              <w:t>На выполнение собственных полномочий</w:t>
            </w:r>
          </w:p>
        </w:tc>
        <w:tc>
          <w:tcPr>
            <w:tcW w:w="1124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514">
              <w:rPr>
                <w:rFonts w:eastAsia="Times New Roman"/>
                <w:kern w:val="0"/>
                <w:lang w:eastAsia="ru-RU"/>
              </w:rPr>
              <w:t>На выполнение переданных  полномочий</w:t>
            </w:r>
          </w:p>
        </w:tc>
      </w:tr>
      <w:tr w:rsidR="000F6DC2" w:rsidRPr="00E55514" w:rsidTr="00270E99">
        <w:tc>
          <w:tcPr>
            <w:tcW w:w="710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3084" w:type="dxa"/>
          </w:tcPr>
          <w:p w:rsidR="000F6DC2" w:rsidRPr="00E55514" w:rsidRDefault="000F6DC2" w:rsidP="00270E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Дорожное хозяйство</w:t>
            </w:r>
          </w:p>
        </w:tc>
        <w:tc>
          <w:tcPr>
            <w:tcW w:w="876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55514">
              <w:rPr>
                <w:rFonts w:eastAsia="Times New Roman"/>
                <w:kern w:val="0"/>
                <w:lang w:eastAsia="ru-RU"/>
              </w:rPr>
              <w:t>301</w:t>
            </w:r>
          </w:p>
        </w:tc>
        <w:tc>
          <w:tcPr>
            <w:tcW w:w="953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0409</w:t>
            </w:r>
          </w:p>
        </w:tc>
        <w:tc>
          <w:tcPr>
            <w:tcW w:w="1302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3150011</w:t>
            </w:r>
          </w:p>
        </w:tc>
        <w:tc>
          <w:tcPr>
            <w:tcW w:w="697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521</w:t>
            </w:r>
          </w:p>
        </w:tc>
        <w:tc>
          <w:tcPr>
            <w:tcW w:w="1158" w:type="dxa"/>
          </w:tcPr>
          <w:p w:rsidR="000F6DC2" w:rsidRPr="00E55514" w:rsidRDefault="0029382B" w:rsidP="0029382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4473000</w:t>
            </w:r>
          </w:p>
        </w:tc>
        <w:tc>
          <w:tcPr>
            <w:tcW w:w="860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24" w:type="dxa"/>
          </w:tcPr>
          <w:p w:rsidR="000F6DC2" w:rsidRPr="00E55514" w:rsidRDefault="0029382B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4473000</w:t>
            </w:r>
            <w:bookmarkStart w:id="0" w:name="_GoBack"/>
            <w:bookmarkEnd w:id="0"/>
          </w:p>
        </w:tc>
      </w:tr>
      <w:tr w:rsidR="000F6DC2" w:rsidRPr="00E55514" w:rsidTr="00270E99">
        <w:tc>
          <w:tcPr>
            <w:tcW w:w="710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3084" w:type="dxa"/>
          </w:tcPr>
          <w:p w:rsidR="000F6DC2" w:rsidRDefault="000F6DC2" w:rsidP="00270E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Дорожное хозяйство</w:t>
            </w:r>
          </w:p>
        </w:tc>
        <w:tc>
          <w:tcPr>
            <w:tcW w:w="876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301</w:t>
            </w:r>
          </w:p>
        </w:tc>
        <w:tc>
          <w:tcPr>
            <w:tcW w:w="953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0409</w:t>
            </w:r>
          </w:p>
        </w:tc>
        <w:tc>
          <w:tcPr>
            <w:tcW w:w="1302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3150033</w:t>
            </w:r>
          </w:p>
        </w:tc>
        <w:tc>
          <w:tcPr>
            <w:tcW w:w="697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521</w:t>
            </w:r>
          </w:p>
        </w:tc>
        <w:tc>
          <w:tcPr>
            <w:tcW w:w="1158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60" w:type="dxa"/>
          </w:tcPr>
          <w:p w:rsidR="000F6DC2" w:rsidRPr="00E55514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24" w:type="dxa"/>
          </w:tcPr>
          <w:p w:rsidR="000F6DC2" w:rsidRDefault="000F6DC2" w:rsidP="00270E9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0F6DC2" w:rsidRDefault="000F6DC2" w:rsidP="000F6DC2">
      <w:pPr>
        <w:jc w:val="both"/>
        <w:rPr>
          <w:sz w:val="28"/>
          <w:szCs w:val="28"/>
        </w:rPr>
      </w:pPr>
    </w:p>
    <w:p w:rsidR="000F6DC2" w:rsidRDefault="000F6DC2" w:rsidP="000F6DC2">
      <w:pPr>
        <w:jc w:val="both"/>
        <w:rPr>
          <w:sz w:val="28"/>
          <w:szCs w:val="28"/>
        </w:rPr>
      </w:pPr>
    </w:p>
    <w:p w:rsidR="000F6DC2" w:rsidRDefault="000F6DC2" w:rsidP="000F6DC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F6DC2">
        <w:rPr>
          <w:sz w:val="28"/>
          <w:szCs w:val="28"/>
        </w:rPr>
        <w:t xml:space="preserve">Увеличить назначение по разделу ГЛ 301 </w:t>
      </w:r>
      <w:proofErr w:type="gramStart"/>
      <w:r w:rsidRPr="000F6DC2">
        <w:rPr>
          <w:sz w:val="28"/>
          <w:szCs w:val="28"/>
        </w:rPr>
        <w:t>ПР</w:t>
      </w:r>
      <w:proofErr w:type="gramEnd"/>
      <w:r w:rsidRPr="000F6DC2">
        <w:rPr>
          <w:sz w:val="28"/>
          <w:szCs w:val="28"/>
        </w:rPr>
        <w:t xml:space="preserve"> 0409 ЦС 3150033 КВР 521 ЭККЛ 225 на 105 рублей за счет уменьшения назначения по разделу ГЛ 301 ПР 0409 ЦС 6000200 КВР 500 ЭККЛ 225 на 105 рублей.</w:t>
      </w:r>
    </w:p>
    <w:p w:rsidR="000F6DC2" w:rsidRPr="000F6DC2" w:rsidRDefault="000F6DC2" w:rsidP="000F6DC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F6DC2">
        <w:rPr>
          <w:rFonts w:eastAsia="Times New Roman"/>
          <w:spacing w:val="-2"/>
          <w:sz w:val="28"/>
          <w:szCs w:val="28"/>
        </w:rPr>
        <w:t xml:space="preserve">Настоящее решение вступает в силу со дня его официального </w:t>
      </w:r>
      <w:r w:rsidRPr="000F6DC2">
        <w:rPr>
          <w:rFonts w:eastAsia="Times New Roman"/>
          <w:sz w:val="28"/>
          <w:szCs w:val="28"/>
        </w:rPr>
        <w:t>опубликования (обнародования) в установленном порядке.</w:t>
      </w:r>
    </w:p>
    <w:p w:rsidR="000F6DC2" w:rsidRPr="00561BB1" w:rsidRDefault="000F6DC2" w:rsidP="000F6DC2">
      <w:pPr>
        <w:jc w:val="both"/>
        <w:rPr>
          <w:sz w:val="28"/>
          <w:szCs w:val="28"/>
        </w:rPr>
      </w:pPr>
    </w:p>
    <w:p w:rsidR="000F6DC2" w:rsidRPr="00347C36" w:rsidRDefault="000F6DC2" w:rsidP="000F6DC2">
      <w:pPr>
        <w:jc w:val="both"/>
        <w:rPr>
          <w:color w:val="000000"/>
          <w:sz w:val="28"/>
          <w:szCs w:val="28"/>
        </w:rPr>
      </w:pPr>
    </w:p>
    <w:p w:rsidR="000F6DC2" w:rsidRDefault="000F6DC2" w:rsidP="000F6DC2">
      <w:pPr>
        <w:pStyle w:val="a5"/>
        <w:rPr>
          <w:sz w:val="28"/>
          <w:szCs w:val="28"/>
        </w:rPr>
      </w:pPr>
    </w:p>
    <w:p w:rsidR="000F6DC2" w:rsidRPr="000F6DC2" w:rsidRDefault="000F6DC2" w:rsidP="000F6DC2">
      <w:pPr>
        <w:pStyle w:val="a6"/>
        <w:rPr>
          <w:sz w:val="28"/>
          <w:szCs w:val="28"/>
        </w:rPr>
      </w:pPr>
      <w:r w:rsidRPr="000F6DC2">
        <w:rPr>
          <w:sz w:val="28"/>
          <w:szCs w:val="28"/>
        </w:rPr>
        <w:t xml:space="preserve">Глава Исправненского </w:t>
      </w:r>
    </w:p>
    <w:p w:rsidR="000F6DC2" w:rsidRPr="000F6DC2" w:rsidRDefault="000F6DC2" w:rsidP="000F6DC2">
      <w:pPr>
        <w:pStyle w:val="a6"/>
        <w:rPr>
          <w:sz w:val="28"/>
          <w:szCs w:val="28"/>
        </w:rPr>
      </w:pPr>
      <w:r w:rsidRPr="000F6DC2">
        <w:rPr>
          <w:sz w:val="28"/>
          <w:szCs w:val="28"/>
        </w:rPr>
        <w:t>сельского поселения                                                                           Е. В. Бондарева</w:t>
      </w:r>
    </w:p>
    <w:p w:rsidR="000F6DC2" w:rsidRPr="000F6DC2" w:rsidRDefault="000F6DC2" w:rsidP="000F6DC2">
      <w:pPr>
        <w:pStyle w:val="a6"/>
        <w:rPr>
          <w:sz w:val="28"/>
          <w:szCs w:val="28"/>
        </w:rPr>
      </w:pPr>
    </w:p>
    <w:p w:rsidR="000F6DC2" w:rsidRDefault="000F6DC2" w:rsidP="000F6DC2">
      <w:pPr>
        <w:jc w:val="both"/>
        <w:rPr>
          <w:sz w:val="28"/>
          <w:szCs w:val="28"/>
        </w:rPr>
      </w:pPr>
    </w:p>
    <w:p w:rsidR="000F6DC2" w:rsidRDefault="000F6DC2" w:rsidP="000F6DC2"/>
    <w:p w:rsidR="000F6DC2" w:rsidRDefault="000F6DC2" w:rsidP="000F6DC2"/>
    <w:p w:rsidR="000F6DC2" w:rsidRDefault="000F6DC2" w:rsidP="000F6DC2"/>
    <w:p w:rsidR="000F6DC2" w:rsidRDefault="000F6DC2" w:rsidP="000F6DC2"/>
    <w:p w:rsidR="000F6DC2" w:rsidRDefault="000F6DC2" w:rsidP="000F6DC2"/>
    <w:p w:rsidR="000F6DC2" w:rsidRDefault="000F6DC2" w:rsidP="000F6DC2"/>
    <w:p w:rsidR="000F6DC2" w:rsidRDefault="000F6DC2" w:rsidP="000F6DC2"/>
    <w:p w:rsidR="000F6DC2" w:rsidRDefault="000F6DC2" w:rsidP="000F6DC2">
      <w:pPr>
        <w:keepNext/>
        <w:keepLine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F6DC2" w:rsidRDefault="000F6DC2" w:rsidP="000F6DC2">
      <w:pPr>
        <w:keepNext/>
        <w:keepLines/>
        <w:spacing w:line="100" w:lineRule="atLeast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sectPr w:rsidR="000F6DC2" w:rsidSect="000F6DC2">
      <w:pgSz w:w="11905" w:h="16837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3C92"/>
    <w:multiLevelType w:val="hybridMultilevel"/>
    <w:tmpl w:val="AD0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F1E"/>
    <w:multiLevelType w:val="hybridMultilevel"/>
    <w:tmpl w:val="50B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2"/>
    <w:rsid w:val="000F6DC2"/>
    <w:rsid w:val="00250470"/>
    <w:rsid w:val="0029382B"/>
    <w:rsid w:val="00982B58"/>
    <w:rsid w:val="00D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F6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DC2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0F6DC2"/>
    <w:pPr>
      <w:spacing w:after="120"/>
    </w:pPr>
  </w:style>
  <w:style w:type="character" w:customStyle="1" w:styleId="a4">
    <w:name w:val="Основной текст Знак"/>
    <w:basedOn w:val="a0"/>
    <w:link w:val="a3"/>
    <w:rsid w:val="000F6D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"/>
    <w:basedOn w:val="a3"/>
    <w:rsid w:val="000F6DC2"/>
    <w:rPr>
      <w:rFonts w:cs="Tahoma"/>
    </w:rPr>
  </w:style>
  <w:style w:type="paragraph" w:customStyle="1" w:styleId="11">
    <w:name w:val="Абзац списка1"/>
    <w:basedOn w:val="a"/>
    <w:rsid w:val="000F6DC2"/>
    <w:pPr>
      <w:ind w:left="720"/>
    </w:pPr>
  </w:style>
  <w:style w:type="paragraph" w:styleId="a6">
    <w:name w:val="No Spacing"/>
    <w:uiPriority w:val="1"/>
    <w:qFormat/>
    <w:rsid w:val="000F6D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0F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F6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DC2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0F6DC2"/>
    <w:pPr>
      <w:spacing w:after="120"/>
    </w:pPr>
  </w:style>
  <w:style w:type="character" w:customStyle="1" w:styleId="a4">
    <w:name w:val="Основной текст Знак"/>
    <w:basedOn w:val="a0"/>
    <w:link w:val="a3"/>
    <w:rsid w:val="000F6D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"/>
    <w:basedOn w:val="a3"/>
    <w:rsid w:val="000F6DC2"/>
    <w:rPr>
      <w:rFonts w:cs="Tahoma"/>
    </w:rPr>
  </w:style>
  <w:style w:type="paragraph" w:customStyle="1" w:styleId="11">
    <w:name w:val="Абзац списка1"/>
    <w:basedOn w:val="a"/>
    <w:rsid w:val="000F6DC2"/>
    <w:pPr>
      <w:ind w:left="720"/>
    </w:pPr>
  </w:style>
  <w:style w:type="paragraph" w:styleId="a6">
    <w:name w:val="No Spacing"/>
    <w:uiPriority w:val="1"/>
    <w:qFormat/>
    <w:rsid w:val="000F6D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0F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2013-08-07T04:10:00Z</cp:lastPrinted>
  <dcterms:created xsi:type="dcterms:W3CDTF">2013-07-22T09:42:00Z</dcterms:created>
  <dcterms:modified xsi:type="dcterms:W3CDTF">2013-08-07T04:19:00Z</dcterms:modified>
</cp:coreProperties>
</file>